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7777777" w:rsidR="00B252D2" w:rsidRDefault="00AF2175">
      <w:pPr>
        <w:pStyle w:val="BodyText"/>
        <w:ind w:left="426"/>
        <w:jc w:val="both"/>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1C1E1659" w14:textId="77777777" w:rsidR="004013A7" w:rsidRDefault="00AF2175" w:rsidP="004013A7">
      <w:pPr>
        <w:pStyle w:val="BodyText"/>
        <w:spacing w:before="161" w:line="276" w:lineRule="auto"/>
        <w:ind w:left="426" w:right="564"/>
        <w:jc w:val="both"/>
        <w:rPr>
          <w:color w:val="000000"/>
        </w:rPr>
      </w:pPr>
      <w:r>
        <w:t>RE: Request for Tenders for the Supply of</w:t>
      </w:r>
      <w:r w:rsidR="00171DC4">
        <w:t xml:space="preserve"> </w:t>
      </w:r>
      <w:r w:rsidR="004013A7" w:rsidRPr="004013A7">
        <w:rPr>
          <w:color w:val="000000"/>
        </w:rPr>
        <w:t>Machine Educational Simulators (*Two [2]) including Delivery, Installation and Training for Cavan and Monaghan Education and Training Board (CMETB)</w:t>
      </w:r>
    </w:p>
    <w:p w14:paraId="51EF8C97" w14:textId="08756E88" w:rsidR="00B252D2" w:rsidRDefault="00AF2175" w:rsidP="004013A7">
      <w:pPr>
        <w:pStyle w:val="BodyText"/>
        <w:spacing w:before="161" w:line="276" w:lineRule="auto"/>
        <w:ind w:left="426" w:right="564"/>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 xml:space="preserve">We accept </w:t>
            </w:r>
            <w:proofErr w:type="gramStart"/>
            <w:r>
              <w:t>all of</w:t>
            </w:r>
            <w:proofErr w:type="gramEnd"/>
            <w:r>
              <w:t xml:space="preserve">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360255A0" w14:textId="77777777" w:rsidR="00B252D2" w:rsidRDefault="00AF2175">
      <w:pPr>
        <w:pStyle w:val="Heading1"/>
        <w:spacing w:line="278" w:lineRule="auto"/>
      </w:pPr>
      <w:r>
        <w:rPr>
          <w:noProof/>
        </w:rPr>
        <w:lastRenderedPageBreak/>
        <mc:AlternateContent>
          <mc:Choice Requires="wps">
            <w:drawing>
              <wp:anchor distT="0" distB="0" distL="0" distR="0" simplePos="0" relativeHeight="487617536" behindDoc="1" locked="0" layoutInCell="1" allowOverlap="1" wp14:anchorId="73627DE4" wp14:editId="248491C9">
                <wp:simplePos x="0" y="0"/>
                <wp:positionH relativeFrom="page">
                  <wp:posOffset>882396</wp:posOffset>
                </wp:positionH>
                <wp:positionV relativeFrom="paragraph">
                  <wp:posOffset>641631</wp:posOffset>
                </wp:positionV>
                <wp:extent cx="5797550" cy="27940"/>
                <wp:effectExtent l="0" t="0" r="0" b="0"/>
                <wp:wrapTopAndBottom/>
                <wp:docPr id="206" name="Graphic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3FAF01B" id="Graphic 206" o:spid="_x0000_s1026" style="position:absolute;margin-left:69.5pt;margin-top:50.5pt;width:456.5pt;height:2.2pt;z-index:-1569894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2" w:name="Appendix_3A:_Schedule_A_–_Declaration_of"/>
      <w:bookmarkEnd w:id="2"/>
      <w:r>
        <w:rPr>
          <w:color w:val="333399"/>
        </w:rPr>
        <w:t>Appendix</w:t>
      </w:r>
      <w:r>
        <w:rPr>
          <w:color w:val="333399"/>
          <w:spacing w:val="80"/>
        </w:rPr>
        <w:t xml:space="preserve"> </w:t>
      </w:r>
      <w:r>
        <w:rPr>
          <w:color w:val="333399"/>
        </w:rPr>
        <w:t>3A:</w:t>
      </w:r>
      <w:r>
        <w:rPr>
          <w:color w:val="333399"/>
          <w:spacing w:val="80"/>
        </w:rPr>
        <w:t xml:space="preserve"> </w:t>
      </w:r>
      <w:r>
        <w:rPr>
          <w:color w:val="333399"/>
        </w:rPr>
        <w:t>Schedule</w:t>
      </w:r>
      <w:r>
        <w:rPr>
          <w:color w:val="333399"/>
          <w:spacing w:val="80"/>
        </w:rPr>
        <w:t xml:space="preserve"> </w:t>
      </w:r>
      <w:r>
        <w:rPr>
          <w:color w:val="333399"/>
        </w:rPr>
        <w:t>A</w:t>
      </w:r>
      <w:r>
        <w:rPr>
          <w:color w:val="333399"/>
          <w:spacing w:val="80"/>
        </w:rPr>
        <w:t xml:space="preserve"> </w:t>
      </w:r>
      <w:r>
        <w:rPr>
          <w:color w:val="333399"/>
        </w:rPr>
        <w:t>–</w:t>
      </w:r>
      <w:r>
        <w:rPr>
          <w:color w:val="333399"/>
          <w:spacing w:val="80"/>
        </w:rPr>
        <w:t xml:space="preserve"> </w:t>
      </w:r>
      <w:r>
        <w:rPr>
          <w:color w:val="333399"/>
        </w:rPr>
        <w:t>Declaration</w:t>
      </w:r>
      <w:r>
        <w:rPr>
          <w:color w:val="333399"/>
          <w:spacing w:val="80"/>
        </w:rPr>
        <w:t xml:space="preserve"> </w:t>
      </w:r>
      <w:r>
        <w:rPr>
          <w:color w:val="333399"/>
        </w:rPr>
        <w:t>of</w:t>
      </w:r>
      <w:r>
        <w:rPr>
          <w:color w:val="333399"/>
          <w:spacing w:val="80"/>
        </w:rPr>
        <w:t xml:space="preserve"> </w:t>
      </w:r>
      <w:r>
        <w:rPr>
          <w:color w:val="333399"/>
        </w:rPr>
        <w:t>no</w:t>
      </w:r>
      <w:r>
        <w:rPr>
          <w:color w:val="333399"/>
          <w:spacing w:val="80"/>
        </w:rPr>
        <w:t xml:space="preserve"> </w:t>
      </w:r>
      <w:r>
        <w:rPr>
          <w:color w:val="333399"/>
        </w:rPr>
        <w:t>foreign</w:t>
      </w:r>
      <w:r>
        <w:rPr>
          <w:color w:val="333399"/>
          <w:spacing w:val="80"/>
        </w:rPr>
        <w:t xml:space="preserve"> </w:t>
      </w:r>
      <w:r>
        <w:rPr>
          <w:color w:val="333399"/>
        </w:rPr>
        <w:t xml:space="preserve">financial </w:t>
      </w:r>
      <w:r>
        <w:rPr>
          <w:color w:val="333399"/>
          <w:spacing w:val="-2"/>
        </w:rPr>
        <w:t>contributions</w:t>
      </w:r>
    </w:p>
    <w:p w14:paraId="129BA41C" w14:textId="77777777" w:rsidR="00B252D2" w:rsidRDefault="00AF2175">
      <w:pPr>
        <w:pStyle w:val="BodyText"/>
        <w:spacing w:before="162" w:line="276" w:lineRule="auto"/>
        <w:ind w:left="426" w:right="564"/>
        <w:jc w:val="both"/>
      </w:pPr>
      <w:r>
        <w:t xml:space="preserve">[To be completed by notifying parties where the value of the procurement procedure is equal to or greater than the financial thresholds in Article 28 of Regulation (EU) 2022/2560 and where the notifying party has </w:t>
      </w:r>
      <w:r>
        <w:rPr>
          <w:b/>
          <w:u w:val="single"/>
        </w:rPr>
        <w:t>not</w:t>
      </w:r>
      <w:r>
        <w:rPr>
          <w:b/>
        </w:rPr>
        <w:t xml:space="preserve"> </w:t>
      </w:r>
      <w:r>
        <w:t>been in receipt of any foreign financial contributions]</w:t>
      </w:r>
    </w:p>
    <w:p w14:paraId="77F3767F" w14:textId="77777777" w:rsidR="00B252D2" w:rsidRDefault="00B252D2">
      <w:pPr>
        <w:pStyle w:val="BodyText"/>
      </w:pPr>
    </w:p>
    <w:p w14:paraId="5215EC68" w14:textId="77777777" w:rsidR="00B252D2" w:rsidRDefault="00B252D2">
      <w:pPr>
        <w:pStyle w:val="BodyText"/>
        <w:spacing w:before="10"/>
      </w:pPr>
    </w:p>
    <w:p w14:paraId="2E1B3ECE" w14:textId="77777777" w:rsidR="00B252D2" w:rsidRDefault="00AF2175">
      <w:pPr>
        <w:pStyle w:val="BodyText"/>
        <w:ind w:left="426"/>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66452353" w14:textId="4DC86994" w:rsidR="00B252D2" w:rsidRDefault="00AF2175">
      <w:pPr>
        <w:pStyle w:val="BodyText"/>
        <w:spacing w:before="161" w:line="276" w:lineRule="auto"/>
        <w:ind w:left="426"/>
      </w:pPr>
      <w:r>
        <w:t>RE:</w:t>
      </w:r>
      <w:r>
        <w:rPr>
          <w:spacing w:val="23"/>
        </w:rPr>
        <w:t xml:space="preserve"> </w:t>
      </w:r>
      <w:r>
        <w:t>Request</w:t>
      </w:r>
      <w:r>
        <w:rPr>
          <w:spacing w:val="23"/>
        </w:rPr>
        <w:t xml:space="preserve"> </w:t>
      </w:r>
      <w:r>
        <w:t>for</w:t>
      </w:r>
      <w:r>
        <w:rPr>
          <w:spacing w:val="23"/>
        </w:rPr>
        <w:t xml:space="preserve"> </w:t>
      </w:r>
      <w:r>
        <w:t>Tenders</w:t>
      </w:r>
      <w:r>
        <w:rPr>
          <w:spacing w:val="23"/>
        </w:rPr>
        <w:t xml:space="preserve"> </w:t>
      </w:r>
      <w:r>
        <w:t>for</w:t>
      </w:r>
      <w:r>
        <w:rPr>
          <w:spacing w:val="23"/>
        </w:rPr>
        <w:t xml:space="preserve"> </w:t>
      </w:r>
      <w:r>
        <w:t>the</w:t>
      </w:r>
      <w:r>
        <w:rPr>
          <w:spacing w:val="23"/>
        </w:rPr>
        <w:t xml:space="preserve"> </w:t>
      </w:r>
      <w:r>
        <w:t>Supply</w:t>
      </w:r>
      <w:r>
        <w:rPr>
          <w:spacing w:val="23"/>
        </w:rPr>
        <w:t xml:space="preserve"> </w:t>
      </w:r>
      <w:r>
        <w:t>of</w:t>
      </w:r>
      <w:r>
        <w:rPr>
          <w:spacing w:val="21"/>
        </w:rPr>
        <w:t xml:space="preserve"> </w:t>
      </w:r>
      <w:r>
        <w:rPr>
          <w:color w:val="000000"/>
          <w:highlight w:val="lightGray"/>
        </w:rPr>
        <w:t>Printed</w:t>
      </w:r>
      <w:r>
        <w:rPr>
          <w:color w:val="000000"/>
          <w:spacing w:val="20"/>
          <w:highlight w:val="lightGray"/>
        </w:rPr>
        <w:t xml:space="preserve"> </w:t>
      </w:r>
      <w:r>
        <w:rPr>
          <w:color w:val="000000"/>
          <w:highlight w:val="lightGray"/>
        </w:rPr>
        <w:t>Matter</w:t>
      </w:r>
      <w:r>
        <w:rPr>
          <w:color w:val="000000"/>
          <w:spacing w:val="23"/>
          <w:highlight w:val="lightGray"/>
        </w:rPr>
        <w:t xml:space="preserve"> </w:t>
      </w:r>
      <w:r>
        <w:rPr>
          <w:color w:val="000000"/>
          <w:highlight w:val="lightGray"/>
        </w:rPr>
        <w:t>for</w:t>
      </w:r>
      <w:r>
        <w:rPr>
          <w:color w:val="000000"/>
          <w:spacing w:val="23"/>
          <w:highlight w:val="lightGray"/>
        </w:rPr>
        <w:t xml:space="preserve"> </w:t>
      </w:r>
      <w:r>
        <w:rPr>
          <w:color w:val="000000"/>
          <w:highlight w:val="lightGray"/>
        </w:rPr>
        <w:t>Cavan</w:t>
      </w:r>
      <w:r>
        <w:rPr>
          <w:color w:val="000000"/>
          <w:spacing w:val="22"/>
          <w:highlight w:val="lightGray"/>
        </w:rPr>
        <w:t xml:space="preserve"> </w:t>
      </w:r>
      <w:r>
        <w:rPr>
          <w:color w:val="000000"/>
          <w:highlight w:val="lightGray"/>
        </w:rPr>
        <w:t>and</w:t>
      </w:r>
      <w:r>
        <w:rPr>
          <w:color w:val="000000"/>
          <w:spacing w:val="22"/>
          <w:highlight w:val="lightGray"/>
        </w:rPr>
        <w:t xml:space="preserve"> </w:t>
      </w:r>
      <w:r>
        <w:rPr>
          <w:color w:val="000000"/>
          <w:highlight w:val="lightGray"/>
        </w:rPr>
        <w:t>Monaghan</w:t>
      </w:r>
      <w:r>
        <w:rPr>
          <w:color w:val="000000"/>
          <w:spacing w:val="22"/>
          <w:highlight w:val="lightGray"/>
        </w:rPr>
        <w:t xml:space="preserve"> </w:t>
      </w:r>
      <w:r>
        <w:rPr>
          <w:color w:val="000000"/>
          <w:highlight w:val="lightGray"/>
        </w:rPr>
        <w:t>Education</w:t>
      </w:r>
      <w:r>
        <w:rPr>
          <w:color w:val="000000"/>
          <w:spacing w:val="22"/>
          <w:highlight w:val="lightGray"/>
        </w:rPr>
        <w:t xml:space="preserve"> </w:t>
      </w:r>
      <w:r>
        <w:rPr>
          <w:color w:val="000000"/>
          <w:highlight w:val="lightGray"/>
        </w:rPr>
        <w:t>and</w:t>
      </w:r>
      <w:r>
        <w:rPr>
          <w:color w:val="000000"/>
        </w:rPr>
        <w:t xml:space="preserve"> </w:t>
      </w:r>
      <w:r>
        <w:rPr>
          <w:color w:val="000000"/>
          <w:highlight w:val="lightGray"/>
        </w:rPr>
        <w:t>Training Board</w:t>
      </w:r>
    </w:p>
    <w:p w14:paraId="056913BA" w14:textId="77777777" w:rsidR="00B252D2" w:rsidRDefault="00B252D2">
      <w:pPr>
        <w:pStyle w:val="BodyText"/>
      </w:pPr>
    </w:p>
    <w:p w14:paraId="2B26819E" w14:textId="77777777" w:rsidR="00B252D2" w:rsidRDefault="00B252D2">
      <w:pPr>
        <w:pStyle w:val="BodyText"/>
        <w:spacing w:before="12"/>
      </w:pPr>
    </w:p>
    <w:p w14:paraId="7F4742F7" w14:textId="77777777" w:rsidR="00B252D2" w:rsidRDefault="00AF2175">
      <w:pPr>
        <w:pStyle w:val="BodyText"/>
        <w:spacing w:line="276" w:lineRule="auto"/>
        <w:ind w:left="426"/>
      </w:pPr>
      <w:r>
        <w:t>We</w:t>
      </w:r>
      <w:r>
        <w:rPr>
          <w:spacing w:val="29"/>
        </w:rPr>
        <w:t xml:space="preserve"> </w:t>
      </w:r>
      <w:r>
        <w:t>hereby</w:t>
      </w:r>
      <w:r>
        <w:rPr>
          <w:spacing w:val="32"/>
        </w:rPr>
        <w:t xml:space="preserve"> </w:t>
      </w:r>
      <w:r>
        <w:t>declare</w:t>
      </w:r>
      <w:r>
        <w:rPr>
          <w:spacing w:val="29"/>
        </w:rPr>
        <w:t xml:space="preserve"> </w:t>
      </w:r>
      <w:r>
        <w:t>that</w:t>
      </w:r>
      <w:r>
        <w:rPr>
          <w:spacing w:val="31"/>
        </w:rPr>
        <w:t xml:space="preserve"> </w:t>
      </w:r>
      <w:r>
        <w:t>none</w:t>
      </w:r>
      <w:r>
        <w:rPr>
          <w:spacing w:val="29"/>
        </w:rPr>
        <w:t xml:space="preserve"> </w:t>
      </w:r>
      <w:r>
        <w:t>of</w:t>
      </w:r>
      <w:r>
        <w:rPr>
          <w:spacing w:val="28"/>
        </w:rPr>
        <w:t xml:space="preserve"> </w:t>
      </w:r>
      <w:r>
        <w:t>the</w:t>
      </w:r>
      <w:r>
        <w:rPr>
          <w:spacing w:val="31"/>
        </w:rPr>
        <w:t xml:space="preserve"> </w:t>
      </w:r>
      <w:r>
        <w:t>notifying</w:t>
      </w:r>
      <w:r>
        <w:rPr>
          <w:spacing w:val="30"/>
        </w:rPr>
        <w:t xml:space="preserve"> </w:t>
      </w:r>
      <w:r>
        <w:t>parties</w:t>
      </w:r>
      <w:r>
        <w:rPr>
          <w:spacing w:val="31"/>
        </w:rPr>
        <w:t xml:space="preserve"> </w:t>
      </w:r>
      <w:r>
        <w:t>has</w:t>
      </w:r>
      <w:r>
        <w:rPr>
          <w:spacing w:val="29"/>
        </w:rPr>
        <w:t xml:space="preserve"> </w:t>
      </w:r>
      <w:r>
        <w:t>been</w:t>
      </w:r>
      <w:r>
        <w:rPr>
          <w:spacing w:val="30"/>
        </w:rPr>
        <w:t xml:space="preserve"> </w:t>
      </w:r>
      <w:r>
        <w:t>in</w:t>
      </w:r>
      <w:r>
        <w:rPr>
          <w:spacing w:val="28"/>
        </w:rPr>
        <w:t xml:space="preserve"> </w:t>
      </w:r>
      <w:r>
        <w:t>receipt</w:t>
      </w:r>
      <w:r>
        <w:rPr>
          <w:spacing w:val="29"/>
        </w:rPr>
        <w:t xml:space="preserve"> </w:t>
      </w:r>
      <w:r>
        <w:t>of</w:t>
      </w:r>
      <w:r>
        <w:rPr>
          <w:spacing w:val="27"/>
        </w:rPr>
        <w:t xml:space="preserve"> </w:t>
      </w:r>
      <w:r>
        <w:t>any</w:t>
      </w:r>
      <w:r>
        <w:rPr>
          <w:spacing w:val="32"/>
        </w:rPr>
        <w:t xml:space="preserve"> </w:t>
      </w:r>
      <w:r>
        <w:t>foreign</w:t>
      </w:r>
      <w:r>
        <w:rPr>
          <w:spacing w:val="28"/>
        </w:rPr>
        <w:t xml:space="preserve"> </w:t>
      </w:r>
      <w:r>
        <w:t>financial contributions within the meaning of Regulation (EU) 2022/2560.</w:t>
      </w:r>
    </w:p>
    <w:p w14:paraId="6BE10340" w14:textId="77777777" w:rsidR="00B252D2" w:rsidRDefault="00B252D2">
      <w:pPr>
        <w:pStyle w:val="BodyText"/>
        <w:rPr>
          <w:sz w:val="20"/>
        </w:rPr>
      </w:pPr>
    </w:p>
    <w:p w14:paraId="3246A277" w14:textId="77777777" w:rsidR="00B252D2" w:rsidRDefault="00B252D2">
      <w:pPr>
        <w:pStyle w:val="BodyText"/>
        <w:spacing w:before="135"/>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2499"/>
      </w:tblGrid>
      <w:tr w:rsidR="00B252D2" w14:paraId="5395BFF4" w14:textId="77777777">
        <w:trPr>
          <w:trHeight w:val="2054"/>
        </w:trPr>
        <w:tc>
          <w:tcPr>
            <w:tcW w:w="3188" w:type="dxa"/>
          </w:tcPr>
          <w:p w14:paraId="5AD37E94" w14:textId="77777777" w:rsidR="00B252D2" w:rsidRDefault="00AF2175">
            <w:pPr>
              <w:pStyle w:val="TableParagraph"/>
              <w:spacing w:line="225" w:lineRule="exact"/>
              <w:ind w:left="50"/>
              <w:rPr>
                <w:b/>
              </w:rPr>
            </w:pPr>
            <w:r>
              <w:rPr>
                <w:b/>
                <w:color w:val="333399"/>
                <w:spacing w:val="-2"/>
              </w:rPr>
              <w:t>SIGNED</w:t>
            </w:r>
          </w:p>
          <w:p w14:paraId="7EABDB50" w14:textId="77777777" w:rsidR="00B252D2" w:rsidRDefault="00B252D2">
            <w:pPr>
              <w:pStyle w:val="TableParagraph"/>
            </w:pPr>
          </w:p>
          <w:p w14:paraId="22098D51" w14:textId="77777777" w:rsidR="00B252D2" w:rsidRDefault="00B252D2">
            <w:pPr>
              <w:pStyle w:val="TableParagraph"/>
            </w:pPr>
          </w:p>
          <w:p w14:paraId="637F1CA3" w14:textId="77777777" w:rsidR="00B252D2" w:rsidRDefault="00B252D2">
            <w:pPr>
              <w:pStyle w:val="TableParagraph"/>
            </w:pPr>
          </w:p>
          <w:p w14:paraId="1E7A8C9B" w14:textId="77777777" w:rsidR="00B252D2" w:rsidRDefault="00B252D2">
            <w:pPr>
              <w:pStyle w:val="TableParagraph"/>
            </w:pPr>
          </w:p>
          <w:p w14:paraId="5E70E5A8" w14:textId="77777777" w:rsidR="00B252D2" w:rsidRDefault="00B252D2">
            <w:pPr>
              <w:pStyle w:val="TableParagraph"/>
              <w:spacing w:before="102"/>
            </w:pPr>
          </w:p>
          <w:p w14:paraId="2C274595" w14:textId="77777777" w:rsidR="00B252D2" w:rsidRDefault="00AF2175">
            <w:pPr>
              <w:pStyle w:val="TableParagraph"/>
              <w:ind w:left="50"/>
              <w:rPr>
                <w:b/>
              </w:rPr>
            </w:pPr>
            <w:r>
              <w:rPr>
                <w:b/>
                <w:color w:val="333399"/>
              </w:rPr>
              <w:t>(Authorised</w:t>
            </w:r>
            <w:r>
              <w:rPr>
                <w:b/>
                <w:color w:val="333399"/>
                <w:spacing w:val="-8"/>
              </w:rPr>
              <w:t xml:space="preserve"> </w:t>
            </w:r>
            <w:r>
              <w:rPr>
                <w:b/>
                <w:color w:val="333399"/>
                <w:spacing w:val="-2"/>
              </w:rPr>
              <w:t>Signatory)</w:t>
            </w:r>
          </w:p>
        </w:tc>
        <w:tc>
          <w:tcPr>
            <w:tcW w:w="2499" w:type="dxa"/>
          </w:tcPr>
          <w:p w14:paraId="79A54004" w14:textId="77777777" w:rsidR="00B252D2" w:rsidRDefault="00AF2175">
            <w:pPr>
              <w:pStyle w:val="TableParagraph"/>
              <w:spacing w:line="225" w:lineRule="exact"/>
              <w:ind w:left="1069"/>
              <w:rPr>
                <w:b/>
              </w:rPr>
            </w:pPr>
            <w:r>
              <w:rPr>
                <w:b/>
                <w:color w:val="333399"/>
              </w:rPr>
              <w:t>Notifying</w:t>
            </w:r>
            <w:r>
              <w:rPr>
                <w:b/>
                <w:color w:val="333399"/>
                <w:spacing w:val="-7"/>
              </w:rPr>
              <w:t xml:space="preserve"> </w:t>
            </w:r>
            <w:r>
              <w:rPr>
                <w:b/>
                <w:color w:val="333399"/>
                <w:spacing w:val="-2"/>
              </w:rPr>
              <w:t>Party</w:t>
            </w:r>
          </w:p>
        </w:tc>
      </w:tr>
      <w:tr w:rsidR="00B252D2" w14:paraId="645E4655" w14:textId="77777777">
        <w:trPr>
          <w:trHeight w:val="715"/>
        </w:trPr>
        <w:tc>
          <w:tcPr>
            <w:tcW w:w="3188" w:type="dxa"/>
          </w:tcPr>
          <w:p w14:paraId="32F1E010" w14:textId="77777777" w:rsidR="00B252D2" w:rsidRDefault="00AF2175">
            <w:pPr>
              <w:pStyle w:val="TableParagraph"/>
              <w:spacing w:before="76"/>
              <w:ind w:left="50"/>
              <w:rPr>
                <w:b/>
              </w:rPr>
            </w:pPr>
            <w:r>
              <w:rPr>
                <w:b/>
                <w:color w:val="333399"/>
              </w:rPr>
              <w:t>Print</w:t>
            </w:r>
            <w:r>
              <w:rPr>
                <w:b/>
                <w:color w:val="333399"/>
                <w:spacing w:val="-1"/>
              </w:rPr>
              <w:t xml:space="preserve"> </w:t>
            </w:r>
            <w:r>
              <w:rPr>
                <w:b/>
                <w:color w:val="333399"/>
                <w:spacing w:val="-4"/>
              </w:rPr>
              <w:t>name</w:t>
            </w:r>
          </w:p>
        </w:tc>
        <w:tc>
          <w:tcPr>
            <w:tcW w:w="2499" w:type="dxa"/>
          </w:tcPr>
          <w:p w14:paraId="042D9949" w14:textId="77777777" w:rsidR="00B252D2" w:rsidRDefault="00AF2175">
            <w:pPr>
              <w:pStyle w:val="TableParagraph"/>
              <w:spacing w:before="76"/>
              <w:ind w:left="1069"/>
              <w:rPr>
                <w:b/>
              </w:rPr>
            </w:pPr>
            <w:r>
              <w:rPr>
                <w:b/>
                <w:color w:val="333399"/>
                <w:spacing w:val="-2"/>
              </w:rPr>
              <w:t>Address</w:t>
            </w:r>
          </w:p>
        </w:tc>
      </w:tr>
      <w:tr w:rsidR="00B252D2" w14:paraId="1D652F91" w14:textId="77777777">
        <w:trPr>
          <w:trHeight w:val="595"/>
        </w:trPr>
        <w:tc>
          <w:tcPr>
            <w:tcW w:w="3188" w:type="dxa"/>
          </w:tcPr>
          <w:p w14:paraId="0FBD094B" w14:textId="77777777" w:rsidR="00B252D2" w:rsidRDefault="00B252D2">
            <w:pPr>
              <w:pStyle w:val="TableParagraph"/>
              <w:spacing w:before="61"/>
            </w:pPr>
          </w:p>
          <w:p w14:paraId="621A30A0" w14:textId="77777777" w:rsidR="00B252D2" w:rsidRDefault="00AF2175">
            <w:pPr>
              <w:pStyle w:val="TableParagraph"/>
              <w:spacing w:before="1" w:line="245" w:lineRule="exact"/>
              <w:ind w:left="50"/>
              <w:rPr>
                <w:b/>
              </w:rPr>
            </w:pPr>
            <w:r>
              <w:rPr>
                <w:b/>
                <w:color w:val="333399"/>
                <w:spacing w:val="-4"/>
              </w:rPr>
              <w:t>Date</w:t>
            </w:r>
          </w:p>
        </w:tc>
        <w:tc>
          <w:tcPr>
            <w:tcW w:w="2499" w:type="dxa"/>
          </w:tcPr>
          <w:p w14:paraId="21C854AD" w14:textId="77777777" w:rsidR="00B252D2" w:rsidRDefault="00B252D2">
            <w:pPr>
              <w:pStyle w:val="TableParagraph"/>
              <w:rPr>
                <w:rFonts w:ascii="Times New Roman"/>
              </w:rPr>
            </w:pPr>
          </w:p>
        </w:tc>
      </w:tr>
    </w:tbl>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B_–_Declaration_th"/>
      <w:bookmarkEnd w:id="3"/>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C_–_Declaration_of"/>
      <w:bookmarkEnd w:id="4"/>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5" w:name="Appendix_3A:_Schedule_D_–_Declaration_of"/>
      <w:bookmarkEnd w:id="5"/>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6" w:name="Appendix_3A:_Schedule_E_–_Notification_o"/>
      <w:bookmarkEnd w:id="6"/>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‘yes’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‘yes’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 xml:space="preserve">Third country granting </w:t>
      </w:r>
      <w:proofErr w:type="gramStart"/>
      <w:r>
        <w:t>the</w:t>
      </w:r>
      <w:r>
        <w:rPr>
          <w:spacing w:val="-1"/>
        </w:rPr>
        <w:t xml:space="preserve"> </w:t>
      </w:r>
      <w:r>
        <w:t>financial</w:t>
      </w:r>
      <w:proofErr w:type="gramEnd"/>
      <w:r>
        <w:t xml:space="preserve"> contribution. Specify also</w:t>
      </w:r>
      <w:r>
        <w:rPr>
          <w:spacing w:val="-1"/>
        </w:rPr>
        <w:t xml:space="preserve"> </w:t>
      </w:r>
      <w:r>
        <w:t xml:space="preserve">the </w:t>
      </w:r>
      <w:proofErr w:type="gramStart"/>
      <w:r>
        <w:t>granting</w:t>
      </w:r>
      <w:proofErr w:type="gramEnd"/>
      <w:r>
        <w:t xml:space="preserve">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r>
        <w:rPr>
          <w:b/>
        </w:rPr>
        <w:t>3.3</w:t>
      </w:r>
      <w:r>
        <w:rPr>
          <w:b/>
          <w:spacing w:val="80"/>
        </w:rPr>
        <w:t xml:space="preserve">  </w:t>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 xml:space="preserve">Deferrals of payment of taxes and/or of social security contributions, tax </w:t>
      </w:r>
      <w:proofErr w:type="gramStart"/>
      <w:r>
        <w:t>amnesties</w:t>
      </w:r>
      <w:proofErr w:type="gramEnd"/>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 xml:space="preserve">Provision/purchase of goods/services (except financial services) </w:t>
      </w:r>
      <w:proofErr w:type="gramStart"/>
      <w:r>
        <w:t>at</w:t>
      </w:r>
      <w:proofErr w:type="gramEnd"/>
      <w:r>
        <w:t xml:space="preserve">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The technical solutions chosen or any exceptionally favourable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the development of the relevant subsidised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 xml:space="preserve">Provide the same documents prepared by or for or received by the </w:t>
      </w:r>
      <w:proofErr w:type="gramStart"/>
      <w:r>
        <w:t>entity</w:t>
      </w:r>
      <w:proofErr w:type="gramEnd"/>
      <w:r>
        <w:t xml:space="preserve">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7" w:name="Appendix_4:_Declaration_as_to_Personal_C"/>
      <w:bookmarkStart w:id="8" w:name="Appendix_5:_Goods_Contract"/>
      <w:bookmarkEnd w:id="7"/>
      <w:bookmarkEnd w:id="8"/>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75B3" w14:textId="77777777" w:rsidR="000818A9" w:rsidRDefault="000818A9">
      <w:r>
        <w:separator/>
      </w:r>
    </w:p>
  </w:endnote>
  <w:endnote w:type="continuationSeparator" w:id="0">
    <w:p w14:paraId="68D4B9EC" w14:textId="77777777" w:rsidR="000818A9" w:rsidRDefault="0008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143"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145"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145F" w14:textId="77777777" w:rsidR="000818A9" w:rsidRDefault="000818A9">
      <w:r>
        <w:separator/>
      </w:r>
    </w:p>
  </w:footnote>
  <w:footnote w:type="continuationSeparator" w:id="0">
    <w:p w14:paraId="52D8E672" w14:textId="77777777" w:rsidR="000818A9" w:rsidRDefault="0008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142"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144"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0818A9"/>
    <w:rsid w:val="00171DC4"/>
    <w:rsid w:val="004013A7"/>
    <w:rsid w:val="004A532C"/>
    <w:rsid w:val="007E56E6"/>
    <w:rsid w:val="00A24459"/>
    <w:rsid w:val="00AF2175"/>
    <w:rsid w:val="00B252D2"/>
    <w:rsid w:val="00C16881"/>
    <w:rsid w:val="00D055F0"/>
    <w:rsid w:val="00D971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PROCUREMENT-313478082-89956</_dlc_DocId>
    <_dlc_DocIdUrl xmlns="303d69f2-d4d9-4201-aace-92254fb8ef6f">
      <Url>https://cmetb.sharepoint.com/sites/ProcurementSection/_layouts/15/DocIdRedir.aspx?ID=PROCUREMENT-313478082-89956</Url>
      <Description>PROCUREMENT-313478082-89956</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869C5-895D-4B60-AC63-191EC4E504BF}">
  <ds:schemaRefs>
    <ds:schemaRef ds:uri="http://schemas.microsoft.com/sharepoint/events"/>
  </ds:schemaRefs>
</ds:datastoreItem>
</file>

<file path=customXml/itemProps2.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D963F712-AEAC-422A-8F01-C7B0D2851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4088</Words>
  <Characters>23308</Characters>
  <Application>Microsoft Office Word</Application>
  <DocSecurity>0</DocSecurity>
  <Lines>194</Lines>
  <Paragraphs>54</Paragraphs>
  <ScaleCrop>false</ScaleCrop>
  <Company>The Office Of Public Works</Company>
  <LinksUpToDate>false</LinksUpToDate>
  <CharactersWithSpaces>27342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Shauna Deery</cp:lastModifiedBy>
  <cp:revision>6</cp:revision>
  <dcterms:created xsi:type="dcterms:W3CDTF">2025-05-16T14:54:00Z</dcterms:created>
  <dcterms:modified xsi:type="dcterms:W3CDTF">2026-06-19T12:05:00Z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41bbc644-5133-44ce-83b8-fab972499f46</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